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Choisir les bons canaux pour mes cibles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Introduction :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Le canal de distribution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auquel il faut accorder sa priorité,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ce sera toujours votre propre site internet. Il existe cependant de nombreux autres canaux à utiliser. Cet exercice permet de lister tous les canaux qui vous seront utiles.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1 : Attribuer des canaux de distribution pour mes personas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Vous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avez besoin de votre liste des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personas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que vous avez créé dans le premier module. En utilisant cette liste, inscrivez tous les canaux que peuvent utiliser vos personas. Deux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personas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différentes peuvent utiliser le même canal. Par exemple, vous pouvez avoir Expedia dans persona 1 et persona 3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Exemple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Couple → Expedia, Booking, Airbnb, Mobiles, Facebook,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6705"/>
        <w:tblGridChange w:id="0">
          <w:tblGrid>
            <w:gridCol w:w="1935"/>
            <w:gridCol w:w="6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Persona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3 personas.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omfortaa" w:cs="Comfortaa" w:eastAsia="Comfortaa" w:hAnsi="Comfortaa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Étape 2 : Attribuer des canaux de distribution pour mes segments et sous-divisions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Vous avez cette fois besoin de votre liste des segments et des sous-divisions que vous avez créé dans le premier module. En utilisant cette liste, inscrivez tous les canaux qui sont utilisés par les clients présents dans les sous-divisions.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Exemple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: Loisirs → Campagne → Expedia, Booking, Facebook, téléphone, email</w:t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LOISIRS</w:t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510"/>
        <w:tblGridChange w:id="0">
          <w:tblGrid>
            <w:gridCol w:w="2130"/>
            <w:gridCol w:w="6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4 sous-divisions.</w:t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BUSINESS</w:t>
      </w: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510"/>
        <w:tblGridChange w:id="0">
          <w:tblGrid>
            <w:gridCol w:w="2130"/>
            <w:gridCol w:w="6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4 sous-divisions.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GROUPE</w:t>
      </w: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510"/>
        <w:tblGridChange w:id="0">
          <w:tblGrid>
            <w:gridCol w:w="2130"/>
            <w:gridCol w:w="6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4 sous-divisions.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AUTRE</w:t>
      </w: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510"/>
        <w:tblGridChange w:id="0">
          <w:tblGrid>
            <w:gridCol w:w="2130"/>
            <w:gridCol w:w="6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Sous division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Comfortaa" w:cs="Comfortaa" w:eastAsia="Comfortaa" w:hAnsi="Comfortaa"/>
          <w:i w:val="1"/>
          <w:sz w:val="18"/>
          <w:szCs w:val="18"/>
          <w:rtl w:val="0"/>
        </w:rPr>
        <w:t xml:space="preserve">Ajoutez ou supprimez des lignes si vous avez plus ou moins de 4 sous-divisions.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80" w:before="0" w:line="288" w:lineRule="auto"/>
      <w:jc w:val="right"/>
      <w:rPr/>
    </w:pPr>
    <w:bookmarkStart w:colFirst="0" w:colLast="0" w:name="_5nntwaww8r7d" w:id="1"/>
    <w:bookmarkEnd w:id="1"/>
    <w:r w:rsidDel="00000000" w:rsidR="00000000" w:rsidRPr="00000000">
      <w:rPr>
        <w:sz w:val="20"/>
        <w:szCs w:val="20"/>
        <w:rtl w:val="0"/>
      </w:rPr>
      <w:t xml:space="preserve">© The Hotel Club by </w:t>
    </w:r>
    <w:r w:rsidDel="00000000" w:rsidR="00000000" w:rsidRPr="00000000">
      <w:rPr>
        <w:sz w:val="20"/>
        <w:szCs w:val="20"/>
        <w:rtl w:val="0"/>
      </w:rPr>
      <w:t xml:space="preserve">Amenitiz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